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58D3" w14:textId="77777777" w:rsidR="003B054C" w:rsidRPr="000912A1" w:rsidRDefault="003B054C">
      <w:pPr>
        <w:tabs>
          <w:tab w:val="center" w:pos="4680"/>
          <w:tab w:val="right" w:pos="9360"/>
        </w:tabs>
      </w:pPr>
    </w:p>
    <w:p w14:paraId="534A415C" w14:textId="77777777" w:rsidR="003B054C" w:rsidRPr="000912A1" w:rsidRDefault="005458D6">
      <w:pPr>
        <w:jc w:val="center"/>
      </w:pPr>
      <w:r w:rsidRPr="000912A1">
        <w:rPr>
          <w:noProof/>
          <w:color w:val="000000"/>
          <w:szCs w:val="24"/>
          <w:lang w:eastAsia="en-GB"/>
        </w:rPr>
        <w:drawing>
          <wp:inline distT="0" distB="0" distL="0" distR="0" wp14:anchorId="72735675" wp14:editId="4DC8BBEB">
            <wp:extent cx="609603" cy="581028"/>
            <wp:effectExtent l="0" t="0" r="0" b="952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BA54CA" w14:textId="77777777" w:rsidR="003B054C" w:rsidRPr="000912A1" w:rsidRDefault="003B054C">
      <w:pPr>
        <w:jc w:val="center"/>
        <w:rPr>
          <w:color w:val="000000"/>
          <w:szCs w:val="24"/>
        </w:rPr>
      </w:pPr>
    </w:p>
    <w:p w14:paraId="2153B894" w14:textId="77777777" w:rsidR="003B054C" w:rsidRPr="000912A1" w:rsidRDefault="005458D6">
      <w:pPr>
        <w:jc w:val="center"/>
        <w:rPr>
          <w:b/>
          <w:color w:val="000000"/>
          <w:sz w:val="28"/>
          <w:szCs w:val="28"/>
        </w:rPr>
      </w:pPr>
      <w:r w:rsidRPr="000912A1">
        <w:rPr>
          <w:b/>
          <w:color w:val="000000"/>
          <w:sz w:val="28"/>
          <w:szCs w:val="28"/>
        </w:rPr>
        <w:t>VILNIAUS MIESTO SAVIVALDYBĖS</w:t>
      </w:r>
    </w:p>
    <w:p w14:paraId="23DCCE86" w14:textId="77777777" w:rsidR="003B054C" w:rsidRPr="000912A1" w:rsidRDefault="005458D6">
      <w:pPr>
        <w:jc w:val="center"/>
        <w:rPr>
          <w:b/>
          <w:color w:val="000000"/>
          <w:sz w:val="28"/>
          <w:szCs w:val="28"/>
        </w:rPr>
      </w:pPr>
      <w:r w:rsidRPr="000912A1">
        <w:rPr>
          <w:b/>
          <w:color w:val="000000"/>
          <w:sz w:val="28"/>
          <w:szCs w:val="28"/>
        </w:rPr>
        <w:t>TARYBA</w:t>
      </w:r>
    </w:p>
    <w:p w14:paraId="68EBAC77" w14:textId="77777777" w:rsidR="003B054C" w:rsidRPr="000912A1" w:rsidRDefault="003B054C">
      <w:pPr>
        <w:jc w:val="center"/>
        <w:rPr>
          <w:color w:val="000000"/>
          <w:szCs w:val="24"/>
        </w:rPr>
      </w:pPr>
    </w:p>
    <w:p w14:paraId="34443D81" w14:textId="77777777" w:rsidR="003B054C" w:rsidRPr="000912A1" w:rsidRDefault="003B054C">
      <w:pPr>
        <w:jc w:val="center"/>
        <w:rPr>
          <w:color w:val="000000"/>
          <w:szCs w:val="24"/>
        </w:rPr>
      </w:pPr>
    </w:p>
    <w:p w14:paraId="38F84366" w14:textId="77777777" w:rsidR="003B054C" w:rsidRPr="000912A1" w:rsidRDefault="005458D6">
      <w:pPr>
        <w:jc w:val="center"/>
        <w:rPr>
          <w:b/>
          <w:color w:val="000000"/>
          <w:szCs w:val="24"/>
        </w:rPr>
      </w:pPr>
      <w:r w:rsidRPr="000912A1">
        <w:rPr>
          <w:b/>
          <w:color w:val="000000"/>
          <w:szCs w:val="24"/>
        </w:rPr>
        <w:t>SPRENDIMAS</w:t>
      </w:r>
    </w:p>
    <w:p w14:paraId="273E691D" w14:textId="77777777" w:rsidR="003B054C" w:rsidRPr="000912A1" w:rsidRDefault="005458D6">
      <w:pPr>
        <w:jc w:val="center"/>
        <w:rPr>
          <w:b/>
          <w:color w:val="000000"/>
          <w:szCs w:val="24"/>
        </w:rPr>
      </w:pPr>
      <w:r w:rsidRPr="000912A1">
        <w:rPr>
          <w:b/>
          <w:color w:val="000000"/>
          <w:szCs w:val="24"/>
        </w:rPr>
        <w:t xml:space="preserve">DĖL MOKĖJIMO UŽ UGDYMĄ IR PASLAUGAS VILNIAUS MIESTO SAVIVALDYBĖS VAIKŲ IR JAUNIMO KLUBUOSE, MOKSLEIVIŲ KŪRYBOS IR MOKYMO, JAUNŲJŲ TURISTŲ, SOSTINĖS VAIKŲ IR JAUNIMO, SAUGAUS MIESTO CENTRUOSE BEI </w:t>
      </w:r>
      <w:r w:rsidRPr="000912A1">
        <w:rPr>
          <w:b/>
          <w:color w:val="000000"/>
          <w:szCs w:val="24"/>
        </w:rPr>
        <w:t>ATVIRUOSE JAUNIMO CENTRUOSE TVARKOS APRAŠO IR ĮKAINIŲ SĄRAŠŲ PATVIRTINIMO</w:t>
      </w:r>
    </w:p>
    <w:p w14:paraId="205334D6" w14:textId="77777777" w:rsidR="003B054C" w:rsidRPr="000912A1" w:rsidRDefault="003B054C">
      <w:pPr>
        <w:jc w:val="center"/>
        <w:rPr>
          <w:color w:val="000000"/>
          <w:szCs w:val="24"/>
        </w:rPr>
      </w:pPr>
    </w:p>
    <w:p w14:paraId="331EAB2B" w14:textId="77777777" w:rsidR="003B054C" w:rsidRPr="000912A1" w:rsidRDefault="005458D6">
      <w:pPr>
        <w:jc w:val="center"/>
        <w:rPr>
          <w:color w:val="000000"/>
          <w:szCs w:val="24"/>
        </w:rPr>
      </w:pPr>
      <w:r w:rsidRPr="000912A1">
        <w:rPr>
          <w:color w:val="000000"/>
          <w:szCs w:val="24"/>
        </w:rPr>
        <w:t>2022 m. spalio 5 d. Nr. 1-1596</w:t>
      </w:r>
    </w:p>
    <w:p w14:paraId="3A9957A7" w14:textId="77777777" w:rsidR="003B054C" w:rsidRPr="000912A1" w:rsidRDefault="005458D6">
      <w:pPr>
        <w:jc w:val="center"/>
        <w:rPr>
          <w:color w:val="000000"/>
          <w:szCs w:val="24"/>
        </w:rPr>
      </w:pPr>
      <w:r w:rsidRPr="000912A1">
        <w:rPr>
          <w:color w:val="000000"/>
          <w:szCs w:val="24"/>
        </w:rPr>
        <w:t>Vilnius</w:t>
      </w:r>
    </w:p>
    <w:p w14:paraId="27C48300" w14:textId="77777777" w:rsidR="003B054C" w:rsidRPr="000912A1" w:rsidRDefault="003B054C">
      <w:pPr>
        <w:rPr>
          <w:color w:val="000000"/>
          <w:szCs w:val="24"/>
        </w:rPr>
      </w:pPr>
    </w:p>
    <w:p w14:paraId="38E26EF7" w14:textId="77777777" w:rsidR="003B054C" w:rsidRPr="000912A1" w:rsidRDefault="003B054C">
      <w:pPr>
        <w:rPr>
          <w:color w:val="000000"/>
          <w:szCs w:val="24"/>
        </w:rPr>
      </w:pPr>
    </w:p>
    <w:p w14:paraId="61C7DD02" w14:textId="77777777" w:rsidR="003B054C" w:rsidRPr="000912A1" w:rsidRDefault="005458D6">
      <w:pPr>
        <w:tabs>
          <w:tab w:val="left" w:pos="993"/>
        </w:tabs>
        <w:spacing w:line="360" w:lineRule="auto"/>
        <w:ind w:firstLine="993"/>
        <w:jc w:val="both"/>
      </w:pPr>
      <w:r w:rsidRPr="000912A1">
        <w:rPr>
          <w:color w:val="000000"/>
          <w:szCs w:val="24"/>
          <w:shd w:val="clear" w:color="auto" w:fill="FFFFFF"/>
        </w:rPr>
        <w:t>Vadovaudamasi Lietuvos Respublikos švietimo įstatymo 70 straipsnio 9 dalimi, Lietuvos Respublikos vietos savivaldos įstatymo 16 straipsnio 2</w:t>
      </w:r>
      <w:r w:rsidRPr="000912A1">
        <w:rPr>
          <w:color w:val="000000"/>
          <w:szCs w:val="24"/>
          <w:shd w:val="clear" w:color="auto" w:fill="FFFFFF"/>
        </w:rPr>
        <w:t xml:space="preserve"> dalies 37 punktu, 18 straipsnio 1 dalimi, Lietuvos Respublikos Vyriausybės 1999 m. gruodžio 31 d. nutarimo Nr. 1526 „Dėl užmokesčio už vaikų papildomą ugdymą“ 1 punktu ir Vilniaus miesto savivaldybės tarybos 2009 m. rugsėjo 9 d. sprendimu Nr. 1-1200 „Dėl </w:t>
      </w:r>
      <w:r w:rsidRPr="000912A1">
        <w:rPr>
          <w:color w:val="000000"/>
          <w:szCs w:val="24"/>
          <w:shd w:val="clear" w:color="auto" w:fill="FFFFFF"/>
        </w:rPr>
        <w:t>Turtinių ir neturtinių teisių įgyvendinimo viešosiose įstaigose taisyklių tvirtinimo“ patvirtintų Turtinių ir neturtinių teisių įgyvendinimo viešosiose įstaigose taisyklių 18.8 papunkčiu,  Vilniaus miesto savivaldybės taryba  n u s p r e n d ž i a:</w:t>
      </w:r>
    </w:p>
    <w:p w14:paraId="4B76896A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>1.</w:t>
      </w:r>
      <w:r w:rsidRPr="000912A1">
        <w:rPr>
          <w:color w:val="000000"/>
          <w:szCs w:val="24"/>
        </w:rPr>
        <w:tab/>
        <w:t>Patv</w:t>
      </w:r>
      <w:r w:rsidRPr="000912A1">
        <w:rPr>
          <w:color w:val="000000"/>
          <w:szCs w:val="24"/>
        </w:rPr>
        <w:t>irtinti pridedamus:</w:t>
      </w:r>
    </w:p>
    <w:p w14:paraId="1D8292BC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>1.1.</w:t>
      </w:r>
      <w:r w:rsidRPr="000912A1">
        <w:rPr>
          <w:color w:val="000000"/>
          <w:szCs w:val="24"/>
        </w:rPr>
        <w:tab/>
        <w:t xml:space="preserve"> Mokėjimo už ugdymą Vilniaus miesto savivaldybės vaikų ir jaunimo klubuose, moksleivių kūrybos ir mokymo, jaunųjų turistų, Sostinės vaikų ir jaunimo, Saugaus miesto centruose bei atviruose jaunimo centruose tvarkos aprašą; </w:t>
      </w:r>
    </w:p>
    <w:p w14:paraId="3543E700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>1.2.</w:t>
      </w:r>
      <w:r w:rsidRPr="000912A1">
        <w:rPr>
          <w:color w:val="000000"/>
          <w:szCs w:val="24"/>
        </w:rPr>
        <w:tab/>
        <w:t>Mo</w:t>
      </w:r>
      <w:r w:rsidRPr="000912A1">
        <w:rPr>
          <w:color w:val="000000"/>
          <w:szCs w:val="24"/>
        </w:rPr>
        <w:t>kesčio už ugdymą Vilniaus miesto savivaldybės vaikų ir jaunimo klubuose, moksleivių kūrybos ir mokymo, jaunųjų turistų, Sostinės vaikų ir jaunimo, Saugaus miesto centruose bei atviruose jaunimo centruose įkainių sąrašą;</w:t>
      </w:r>
    </w:p>
    <w:p w14:paraId="0901C764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>1.3.</w:t>
      </w:r>
      <w:r w:rsidRPr="000912A1">
        <w:rPr>
          <w:color w:val="000000"/>
          <w:szCs w:val="24"/>
        </w:rPr>
        <w:tab/>
        <w:t xml:space="preserve">Mokesčio už paslaugas Sostinės </w:t>
      </w:r>
      <w:r w:rsidRPr="000912A1">
        <w:rPr>
          <w:color w:val="000000"/>
          <w:szCs w:val="24"/>
        </w:rPr>
        <w:t>vaikų ir jaunimo centre įkainių sąrašą.</w:t>
      </w:r>
    </w:p>
    <w:p w14:paraId="244AF962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 xml:space="preserve">2. </w:t>
      </w:r>
      <w:r w:rsidRPr="000912A1">
        <w:rPr>
          <w:color w:val="000000"/>
          <w:szCs w:val="24"/>
          <w:shd w:val="clear" w:color="auto" w:fill="FFFFFF"/>
        </w:rPr>
        <w:t xml:space="preserve">Nustatyti, kad šio sprendimo 1.1 papunkčiu patvirtinto aprašo </w:t>
      </w:r>
      <w:r w:rsidRPr="000912A1">
        <w:rPr>
          <w:color w:val="000000"/>
          <w:szCs w:val="24"/>
          <w:shd w:val="clear" w:color="auto" w:fill="FFFFFF"/>
        </w:rPr>
        <w:t>7</w:t>
      </w:r>
      <w:r w:rsidRPr="000912A1">
        <w:rPr>
          <w:color w:val="000000"/>
          <w:szCs w:val="24"/>
          <w:shd w:val="clear" w:color="auto" w:fill="FFFFFF"/>
        </w:rPr>
        <w:t>.</w:t>
      </w:r>
      <w:r w:rsidRPr="000912A1">
        <w:rPr>
          <w:color w:val="000000"/>
          <w:szCs w:val="24"/>
          <w:shd w:val="clear" w:color="auto" w:fill="FFFFFF"/>
        </w:rPr>
        <w:t>3</w:t>
      </w:r>
      <w:r w:rsidRPr="000912A1">
        <w:rPr>
          <w:color w:val="000000"/>
          <w:szCs w:val="24"/>
          <w:shd w:val="clear" w:color="auto" w:fill="FFFFFF"/>
        </w:rPr>
        <w:t xml:space="preserve"> papunktyje nustatyta lengvata taikoma Lietuvos Respublikos Vyriausybės 2022 m. kovo 16 d. nutarimo Nr. 224 „Dėl laikinosios apsaugos Lietuvos Respu</w:t>
      </w:r>
      <w:r w:rsidRPr="000912A1">
        <w:rPr>
          <w:color w:val="000000"/>
          <w:szCs w:val="24"/>
          <w:shd w:val="clear" w:color="auto" w:fill="FFFFFF"/>
        </w:rPr>
        <w:t>blikoje užsieniečiams suteikimo“ galiojimo laikotarpiu.</w:t>
      </w:r>
    </w:p>
    <w:p w14:paraId="6B4DE4F6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 xml:space="preserve">3. Pripažinti netekusiu galios Vilniaus miesto savivaldybės tarybos 2022 m. birželio </w:t>
      </w:r>
      <w:r w:rsidRPr="000912A1">
        <w:rPr>
          <w:color w:val="000000"/>
          <w:szCs w:val="24"/>
        </w:rPr>
        <w:t>8</w:t>
      </w:r>
      <w:r w:rsidRPr="000912A1">
        <w:rPr>
          <w:color w:val="000000"/>
          <w:szCs w:val="24"/>
        </w:rPr>
        <w:t xml:space="preserve"> d. sprendimą Nr. 1-1481 „Dėl Mokėjimo už ugdymą Vilniaus miesto savivaldybės vaikų ir jaunimo </w:t>
      </w:r>
      <w:r w:rsidRPr="000912A1">
        <w:rPr>
          <w:color w:val="000000"/>
          <w:szCs w:val="24"/>
        </w:rPr>
        <w:lastRenderedPageBreak/>
        <w:t>klubuose, moksleivi</w:t>
      </w:r>
      <w:r w:rsidRPr="000912A1">
        <w:rPr>
          <w:color w:val="000000"/>
          <w:szCs w:val="24"/>
        </w:rPr>
        <w:t>ų kūrybos ir mokymo, jaunųjų turistų, Sostinės vaikų ir jaunimo, saugaus miesto centruose bei atviruose jaunimo centruose tvarkos aprašo ir įkainių sąrašo patvirtinimo“.</w:t>
      </w:r>
    </w:p>
    <w:p w14:paraId="2655B2B2" w14:textId="77777777" w:rsidR="003B054C" w:rsidRPr="000912A1" w:rsidRDefault="005458D6">
      <w:pPr>
        <w:tabs>
          <w:tab w:val="left" w:pos="993"/>
        </w:tabs>
        <w:spacing w:line="360" w:lineRule="auto"/>
        <w:ind w:firstLine="851"/>
        <w:jc w:val="both"/>
      </w:pPr>
      <w:r w:rsidRPr="000912A1">
        <w:rPr>
          <w:color w:val="000000"/>
          <w:szCs w:val="24"/>
        </w:rPr>
        <w:t>4. Pavesti Vilniaus miesto savivaldybės administracijos jaunimo reikalų koordinatoriui</w:t>
      </w:r>
      <w:r w:rsidRPr="000912A1">
        <w:rPr>
          <w:color w:val="000000"/>
          <w:szCs w:val="24"/>
        </w:rPr>
        <w:t xml:space="preserve"> (Jaunimo skyriaus vedėjui) kontroliuoti, kaip įgyvendinamas šis sprendimas.</w:t>
      </w:r>
    </w:p>
    <w:p w14:paraId="40B51DEC" w14:textId="77777777" w:rsidR="003B054C" w:rsidRPr="000912A1" w:rsidRDefault="003B054C">
      <w:pPr>
        <w:tabs>
          <w:tab w:val="left" w:pos="7371"/>
        </w:tabs>
        <w:jc w:val="both"/>
      </w:pPr>
    </w:p>
    <w:p w14:paraId="7F49B69B" w14:textId="77777777" w:rsidR="003B054C" w:rsidRPr="000912A1" w:rsidRDefault="003B054C">
      <w:pPr>
        <w:tabs>
          <w:tab w:val="left" w:pos="7371"/>
        </w:tabs>
        <w:jc w:val="both"/>
      </w:pPr>
    </w:p>
    <w:p w14:paraId="49EF4A46" w14:textId="77777777" w:rsidR="003B054C" w:rsidRPr="000912A1" w:rsidRDefault="003B054C">
      <w:pPr>
        <w:tabs>
          <w:tab w:val="left" w:pos="7371"/>
        </w:tabs>
        <w:jc w:val="both"/>
      </w:pPr>
    </w:p>
    <w:p w14:paraId="7C0143E8" w14:textId="77777777" w:rsidR="003B054C" w:rsidRPr="000912A1" w:rsidRDefault="005458D6">
      <w:pPr>
        <w:tabs>
          <w:tab w:val="left" w:pos="7371"/>
        </w:tabs>
        <w:jc w:val="both"/>
        <w:sectPr w:rsidR="003B054C" w:rsidRPr="000912A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1296"/>
          <w:titlePg/>
        </w:sectPr>
      </w:pPr>
      <w:r w:rsidRPr="000912A1">
        <w:rPr>
          <w:color w:val="000000"/>
          <w:szCs w:val="24"/>
        </w:rPr>
        <w:t>Meras</w:t>
      </w:r>
      <w:r w:rsidRPr="000912A1">
        <w:rPr>
          <w:color w:val="000000"/>
          <w:szCs w:val="24"/>
        </w:rPr>
        <w:tab/>
        <w:t>Remigijus Šimašius</w:t>
      </w:r>
    </w:p>
    <w:p w14:paraId="57970B5F" w14:textId="77777777" w:rsidR="003B054C" w:rsidRPr="000912A1" w:rsidRDefault="005458D6">
      <w:pPr>
        <w:ind w:left="5387"/>
        <w:rPr>
          <w:color w:val="000000"/>
        </w:rPr>
      </w:pPr>
      <w:r w:rsidRPr="000912A1">
        <w:rPr>
          <w:color w:val="000000"/>
        </w:rPr>
        <w:t>PATVIRTINTA</w:t>
      </w:r>
    </w:p>
    <w:p w14:paraId="589C3186" w14:textId="77777777" w:rsidR="003B054C" w:rsidRPr="000912A1" w:rsidRDefault="005458D6">
      <w:pPr>
        <w:ind w:left="5387"/>
        <w:jc w:val="both"/>
        <w:rPr>
          <w:color w:val="000000"/>
        </w:rPr>
      </w:pPr>
      <w:r w:rsidRPr="000912A1">
        <w:rPr>
          <w:color w:val="000000"/>
        </w:rPr>
        <w:t xml:space="preserve">Vilniaus miesto </w:t>
      </w:r>
      <w:r w:rsidRPr="000912A1">
        <w:rPr>
          <w:color w:val="000000"/>
        </w:rPr>
        <w:t>savivaldybės tarybos</w:t>
      </w:r>
    </w:p>
    <w:p w14:paraId="7B24BEBD" w14:textId="77777777" w:rsidR="003B054C" w:rsidRPr="000912A1" w:rsidRDefault="005458D6">
      <w:pPr>
        <w:ind w:left="5387"/>
        <w:jc w:val="both"/>
        <w:rPr>
          <w:color w:val="000000"/>
        </w:rPr>
      </w:pPr>
      <w:r w:rsidRPr="000912A1">
        <w:rPr>
          <w:color w:val="000000"/>
        </w:rPr>
        <w:t xml:space="preserve">2022 m. spalio 5 d. </w:t>
      </w:r>
    </w:p>
    <w:p w14:paraId="4BB6496D" w14:textId="77777777" w:rsidR="003B054C" w:rsidRPr="000912A1" w:rsidRDefault="005458D6">
      <w:pPr>
        <w:ind w:left="5387"/>
        <w:jc w:val="both"/>
        <w:rPr>
          <w:color w:val="000000"/>
        </w:rPr>
      </w:pPr>
      <w:r w:rsidRPr="000912A1">
        <w:rPr>
          <w:color w:val="000000"/>
        </w:rPr>
        <w:t xml:space="preserve">sprendimu  Nr. 1-1596 </w:t>
      </w:r>
    </w:p>
    <w:p w14:paraId="2B2BC2AD" w14:textId="77777777" w:rsidR="003B054C" w:rsidRPr="000912A1" w:rsidRDefault="003B054C">
      <w:pPr>
        <w:ind w:firstLine="709"/>
        <w:jc w:val="center"/>
        <w:rPr>
          <w:b/>
          <w:color w:val="000000"/>
        </w:rPr>
      </w:pPr>
    </w:p>
    <w:p w14:paraId="48D825CA" w14:textId="77777777" w:rsidR="003B054C" w:rsidRPr="000912A1" w:rsidRDefault="003B054C">
      <w:pPr>
        <w:ind w:firstLine="709"/>
        <w:jc w:val="center"/>
        <w:rPr>
          <w:b/>
          <w:color w:val="000000"/>
        </w:rPr>
      </w:pPr>
    </w:p>
    <w:p w14:paraId="272E800A" w14:textId="77777777" w:rsidR="003B054C" w:rsidRPr="000912A1" w:rsidRDefault="005458D6">
      <w:pPr>
        <w:ind w:firstLine="709"/>
        <w:jc w:val="center"/>
      </w:pPr>
      <w:r w:rsidRPr="000912A1">
        <w:rPr>
          <w:b/>
          <w:color w:val="000000"/>
        </w:rPr>
        <w:t xml:space="preserve">MOKĖJIMO UŽ UGDYMĄ IR PASLAUGAS VILNIAUS MIESTO SAVIVALDYBĖS VAIKŲ IR JAUNIMO KLUBUOSE, MOKSLEIVIŲ KŪRYBOS IR MOKYMO, JAUNŲJŲ TURISTŲ, SOSTINĖS VAIKŲ IR JAUNIMO, SAUGAUS MIESTO CENTRUOSE </w:t>
      </w:r>
      <w:r w:rsidRPr="000912A1">
        <w:rPr>
          <w:b/>
          <w:color w:val="000000"/>
        </w:rPr>
        <w:t>BEI ATVIRUOSE JAUNIMO CENTRUOSE TVARKOS APRAŠAS</w:t>
      </w:r>
    </w:p>
    <w:p w14:paraId="3DF2C850" w14:textId="77777777" w:rsidR="003B054C" w:rsidRPr="000912A1" w:rsidRDefault="003B054C">
      <w:pPr>
        <w:ind w:firstLine="709"/>
        <w:rPr>
          <w:b/>
          <w:color w:val="000000"/>
        </w:rPr>
      </w:pPr>
    </w:p>
    <w:p w14:paraId="25FB863F" w14:textId="77777777" w:rsidR="003B054C" w:rsidRPr="000912A1" w:rsidRDefault="003B054C">
      <w:pPr>
        <w:ind w:firstLine="709"/>
        <w:rPr>
          <w:b/>
          <w:color w:val="000000"/>
        </w:rPr>
      </w:pPr>
    </w:p>
    <w:p w14:paraId="3D59E8EB" w14:textId="77777777" w:rsidR="003B054C" w:rsidRPr="000912A1" w:rsidRDefault="005458D6">
      <w:pPr>
        <w:spacing w:line="360" w:lineRule="auto"/>
        <w:ind w:left="1080" w:hanging="720"/>
        <w:jc w:val="center"/>
      </w:pPr>
      <w:r w:rsidRPr="000912A1">
        <w:rPr>
          <w:b/>
          <w:color w:val="000000"/>
        </w:rPr>
        <w:t>I.BENDROSIOS NUOSTATOS</w:t>
      </w:r>
    </w:p>
    <w:p w14:paraId="3D494488" w14:textId="77777777" w:rsidR="003B054C" w:rsidRPr="000912A1" w:rsidRDefault="003B054C">
      <w:pPr>
        <w:spacing w:line="276" w:lineRule="auto"/>
        <w:ind w:firstLine="709"/>
        <w:jc w:val="both"/>
        <w:rPr>
          <w:b/>
          <w:color w:val="000000"/>
        </w:rPr>
      </w:pPr>
    </w:p>
    <w:p w14:paraId="3ED6E1FC" w14:textId="77777777" w:rsidR="003B054C" w:rsidRPr="000912A1" w:rsidRDefault="005458D6">
      <w:pPr>
        <w:tabs>
          <w:tab w:val="left" w:pos="0"/>
          <w:tab w:val="left" w:pos="426"/>
          <w:tab w:val="left" w:pos="993"/>
        </w:tabs>
        <w:spacing w:line="360" w:lineRule="auto"/>
        <w:ind w:firstLine="709"/>
        <w:jc w:val="both"/>
      </w:pPr>
      <w:r w:rsidRPr="000912A1">
        <w:rPr>
          <w:rFonts w:eastAsia="Calibri"/>
          <w:color w:val="000000"/>
          <w:szCs w:val="24"/>
        </w:rPr>
        <w:t>1.</w:t>
      </w:r>
      <w:r w:rsidRPr="000912A1">
        <w:rPr>
          <w:rFonts w:eastAsia="Calibri"/>
          <w:color w:val="000000"/>
          <w:szCs w:val="24"/>
        </w:rPr>
        <w:tab/>
        <w:t>Mokėjimo už ugdymą ir paslaugas Vilniaus miesto savivaldybės vaikų ir jaunimo klubuose, moksleivių kūrybos ir mokymo, jaunųjų turistų, Sostinės vaikų ir jaunimo, Saugaus miesto ce</w:t>
      </w:r>
      <w:r w:rsidRPr="000912A1">
        <w:rPr>
          <w:rFonts w:eastAsia="Calibri"/>
          <w:color w:val="000000"/>
          <w:szCs w:val="24"/>
        </w:rPr>
        <w:t>ntruose bei atviruose jaunimo centruose tvarkos aprašas (toliau – Aprašas) reglamentuoja mokesčio už ugdymą ir paslaugas Vilniaus miesto savivaldybės vaikų ir jaunimo klubuose, moksleivių kūrybos ir mokymo, jaunųjų turistų, Sostinės vaikų ir jaunimo, Sauga</w:t>
      </w:r>
      <w:r w:rsidRPr="000912A1">
        <w:rPr>
          <w:rFonts w:eastAsia="Calibri"/>
          <w:color w:val="000000"/>
          <w:szCs w:val="24"/>
        </w:rPr>
        <w:t>us miesto centruose bei  atviruose jaunimo centruose (toliau – Įstaiga) administravimą, mokėjimo ir lengvatų taikymo tvarką.</w:t>
      </w:r>
    </w:p>
    <w:p w14:paraId="54A84C73" w14:textId="77777777" w:rsidR="003B054C" w:rsidRPr="000912A1" w:rsidRDefault="005458D6">
      <w:pPr>
        <w:tabs>
          <w:tab w:val="left" w:pos="0"/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rFonts w:eastAsia="Calibri"/>
          <w:color w:val="000000"/>
          <w:szCs w:val="24"/>
        </w:rPr>
        <w:t>2.</w:t>
      </w:r>
      <w:r w:rsidRPr="000912A1">
        <w:rPr>
          <w:rFonts w:eastAsia="Calibri"/>
          <w:color w:val="000000"/>
          <w:szCs w:val="24"/>
        </w:rPr>
        <w:tab/>
        <w:t>Šiame Apraše vartojamos sąvokos:</w:t>
      </w:r>
    </w:p>
    <w:p w14:paraId="5789B1B1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rFonts w:eastAsia="Calibri"/>
          <w:bCs/>
          <w:color w:val="000000"/>
          <w:szCs w:val="24"/>
        </w:rPr>
        <w:t>2.1.</w:t>
      </w:r>
      <w:r w:rsidRPr="000912A1">
        <w:rPr>
          <w:rFonts w:eastAsia="Calibri"/>
          <w:bCs/>
          <w:color w:val="000000"/>
          <w:szCs w:val="24"/>
        </w:rPr>
        <w:tab/>
      </w:r>
      <w:r w:rsidRPr="000912A1">
        <w:rPr>
          <w:rFonts w:eastAsia="Calibri"/>
          <w:b/>
          <w:color w:val="000000"/>
          <w:szCs w:val="24"/>
        </w:rPr>
        <w:t xml:space="preserve">ugdytiniai </w:t>
      </w:r>
      <w:r w:rsidRPr="000912A1">
        <w:rPr>
          <w:rFonts w:eastAsia="Calibri"/>
          <w:bCs/>
          <w:color w:val="000000"/>
          <w:szCs w:val="24"/>
        </w:rPr>
        <w:t>– vaikai ir jaunimas, kurių tėvai (globėjai) ar jie patys sudarė dvišalę mokymo</w:t>
      </w:r>
      <w:r w:rsidRPr="000912A1">
        <w:rPr>
          <w:rFonts w:eastAsia="Calibri"/>
          <w:bCs/>
          <w:color w:val="000000"/>
          <w:szCs w:val="24"/>
        </w:rPr>
        <w:t xml:space="preserve"> sutartį su Įstaiga;</w:t>
      </w:r>
    </w:p>
    <w:p w14:paraId="5872ABF1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rFonts w:eastAsia="Calibri"/>
          <w:color w:val="000000"/>
          <w:szCs w:val="24"/>
        </w:rPr>
        <w:t>2.2.</w:t>
      </w:r>
      <w:r w:rsidRPr="000912A1">
        <w:rPr>
          <w:rFonts w:eastAsia="Calibri"/>
          <w:color w:val="000000"/>
          <w:szCs w:val="24"/>
        </w:rPr>
        <w:tab/>
      </w:r>
      <w:r w:rsidRPr="000912A1">
        <w:rPr>
          <w:rFonts w:eastAsia="Calibri"/>
          <w:b/>
          <w:color w:val="000000"/>
          <w:szCs w:val="24"/>
        </w:rPr>
        <w:t>socialinės pašalpos ir socialinės paramos gavėjai</w:t>
      </w:r>
      <w:r w:rsidRPr="000912A1">
        <w:rPr>
          <w:rFonts w:eastAsia="Calibri"/>
          <w:color w:val="000000"/>
          <w:szCs w:val="24"/>
        </w:rPr>
        <w:t xml:space="preserve"> –</w:t>
      </w:r>
      <w:r w:rsidRPr="000912A1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0912A1">
        <w:rPr>
          <w:rFonts w:eastAsia="Calibri"/>
          <w:color w:val="000000"/>
          <w:szCs w:val="24"/>
        </w:rPr>
        <w:t>ugdytiniai iš šeimų, gaunančių socialinę pašalpą pagal Lietuvos Respublikos piniginės socialinės paramos nepasiturintiems gyventojams įstatymą ir/ arba socialinę paramą mokiniams</w:t>
      </w:r>
      <w:r w:rsidRPr="000912A1">
        <w:rPr>
          <w:rFonts w:eastAsia="Calibri"/>
          <w:color w:val="000000"/>
          <w:szCs w:val="24"/>
        </w:rPr>
        <w:t xml:space="preserve"> pagal Lietuvos Respublikos socialinės paramos mokiniams įstatymą</w:t>
      </w:r>
      <w:r w:rsidRPr="000912A1">
        <w:rPr>
          <w:rFonts w:eastAsia="Calibri"/>
          <w:i/>
          <w:iCs/>
          <w:color w:val="000000"/>
          <w:szCs w:val="24"/>
          <w:shd w:val="clear" w:color="auto" w:fill="FFFFFF"/>
        </w:rPr>
        <w:t xml:space="preserve"> </w:t>
      </w:r>
      <w:r w:rsidRPr="000912A1">
        <w:rPr>
          <w:rFonts w:eastAsia="Calibri"/>
          <w:color w:val="000000"/>
          <w:szCs w:val="24"/>
        </w:rPr>
        <w:t>(išskyrus Lietuvos Respublikos socialinės paramos mokiniams įstatymo 5 straipsnio 3 dalyje numatytą paramą);</w:t>
      </w:r>
    </w:p>
    <w:p w14:paraId="423B11D2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rFonts w:eastAsia="Calibri"/>
          <w:color w:val="000000"/>
          <w:szCs w:val="24"/>
        </w:rPr>
        <w:t>2.3.</w:t>
      </w:r>
      <w:r w:rsidRPr="000912A1">
        <w:rPr>
          <w:rFonts w:eastAsia="Calibri"/>
          <w:color w:val="000000"/>
          <w:szCs w:val="24"/>
        </w:rPr>
        <w:tab/>
        <w:t xml:space="preserve">kitos Apraše vartojamos sąvokos suprantamos taip, kaip jos apibrėžtos </w:t>
      </w:r>
      <w:r w:rsidRPr="000912A1">
        <w:rPr>
          <w:rFonts w:eastAsia="Calibri"/>
          <w:color w:val="000000"/>
          <w:szCs w:val="24"/>
        </w:rPr>
        <w:t>Lietuvos Respublikos įstatymuose ir kituose teisės aktuose.</w:t>
      </w:r>
    </w:p>
    <w:p w14:paraId="6F2773E3" w14:textId="77777777" w:rsidR="003B054C" w:rsidRPr="000912A1" w:rsidRDefault="003B054C">
      <w:pPr>
        <w:tabs>
          <w:tab w:val="left" w:pos="426"/>
        </w:tabs>
        <w:spacing w:line="360" w:lineRule="auto"/>
        <w:ind w:firstLine="709"/>
        <w:jc w:val="both"/>
      </w:pPr>
    </w:p>
    <w:p w14:paraId="5795BA0F" w14:textId="77777777" w:rsidR="003B054C" w:rsidRPr="000912A1" w:rsidRDefault="005458D6">
      <w:pPr>
        <w:tabs>
          <w:tab w:val="left" w:pos="426"/>
        </w:tabs>
        <w:spacing w:line="276" w:lineRule="auto"/>
        <w:ind w:firstLine="709"/>
        <w:jc w:val="center"/>
      </w:pPr>
      <w:r w:rsidRPr="000912A1">
        <w:rPr>
          <w:b/>
          <w:color w:val="000000"/>
        </w:rPr>
        <w:t>II. MOKESČIO UŽ UGDYMĄ IR PASLAUGAS ADMINISTRAVIMAS, MOKĖJIMO TVARKA IR TERMINAI</w:t>
      </w:r>
    </w:p>
    <w:p w14:paraId="260FAF30" w14:textId="77777777" w:rsidR="003B054C" w:rsidRPr="000912A1" w:rsidRDefault="003B054C">
      <w:pPr>
        <w:tabs>
          <w:tab w:val="left" w:pos="426"/>
        </w:tabs>
        <w:spacing w:line="360" w:lineRule="auto"/>
        <w:ind w:firstLine="709"/>
        <w:jc w:val="center"/>
        <w:rPr>
          <w:b/>
          <w:color w:val="000000"/>
        </w:rPr>
      </w:pPr>
    </w:p>
    <w:p w14:paraId="42C080D4" w14:textId="77777777" w:rsidR="003B054C" w:rsidRPr="000912A1" w:rsidRDefault="005458D6">
      <w:pPr>
        <w:tabs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3. Mokestis už paslaugas Įstaigose mokamas Įstaigos vadovo nustatyta tvarka.</w:t>
      </w:r>
    </w:p>
    <w:p w14:paraId="6E1B2E4A" w14:textId="77777777" w:rsidR="003B054C" w:rsidRPr="000912A1" w:rsidRDefault="005458D6">
      <w:pPr>
        <w:tabs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 xml:space="preserve">4. Mokestis už ugdymą Įstaigose </w:t>
      </w:r>
      <w:r w:rsidRPr="000912A1">
        <w:rPr>
          <w:color w:val="000000"/>
          <w:szCs w:val="24"/>
        </w:rPr>
        <w:t>mokamas už kiekvieną mėnesį Įstaigos vadovo nustatytais mokėjimo terminais ir būdais.</w:t>
      </w:r>
    </w:p>
    <w:p w14:paraId="23CBAE97" w14:textId="77777777" w:rsidR="003B054C" w:rsidRPr="000912A1" w:rsidRDefault="005458D6">
      <w:pPr>
        <w:tabs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5. Surinktos lėšos naudojamos ugdymo veiklai plėtoti, pagrindinėms priemonėms įsigyti, trumpalaikiam ir ilgalaikiam materialiajam turtui įsigyti bei einamajam remontui, d</w:t>
      </w:r>
      <w:r w:rsidRPr="000912A1">
        <w:rPr>
          <w:color w:val="000000"/>
          <w:szCs w:val="24"/>
        </w:rPr>
        <w:t>arbuotojų darbo užmokesčiui ir su juo susijusiems mokesčiams, komunalinėms paslaugoms apmokėti ir kitoms su ugdymo veikla susijusioms reikmėms.</w:t>
      </w:r>
    </w:p>
    <w:p w14:paraId="57F5AB4C" w14:textId="77777777" w:rsidR="003B054C" w:rsidRPr="000912A1" w:rsidRDefault="005458D6">
      <w:pPr>
        <w:tabs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6. Jei mokestis už ugdymą nesumokamas daugiau kaip vieną mėnesį nuo nustatytos datos, Įstaigos vadovas gali vien</w:t>
      </w:r>
      <w:r w:rsidRPr="000912A1">
        <w:rPr>
          <w:color w:val="000000"/>
          <w:szCs w:val="24"/>
        </w:rPr>
        <w:t xml:space="preserve">ašališkai nutraukti sutartį. </w:t>
      </w:r>
    </w:p>
    <w:p w14:paraId="06B977A7" w14:textId="77777777" w:rsidR="003B054C" w:rsidRPr="000912A1" w:rsidRDefault="003B054C">
      <w:pPr>
        <w:tabs>
          <w:tab w:val="left" w:pos="426"/>
        </w:tabs>
        <w:spacing w:line="360" w:lineRule="auto"/>
        <w:ind w:firstLine="709"/>
        <w:jc w:val="both"/>
      </w:pPr>
    </w:p>
    <w:p w14:paraId="142FEA82" w14:textId="77777777" w:rsidR="003B054C" w:rsidRPr="000912A1" w:rsidRDefault="005458D6">
      <w:pPr>
        <w:tabs>
          <w:tab w:val="left" w:pos="426"/>
        </w:tabs>
        <w:spacing w:line="276" w:lineRule="auto"/>
        <w:ind w:firstLine="709"/>
        <w:jc w:val="center"/>
      </w:pPr>
      <w:r w:rsidRPr="000912A1">
        <w:rPr>
          <w:b/>
          <w:color w:val="000000"/>
        </w:rPr>
        <w:t>III. MOKESČIO UŽ UGDYMĄ LENGVATOS</w:t>
      </w:r>
    </w:p>
    <w:p w14:paraId="0D44307B" w14:textId="77777777" w:rsidR="003B054C" w:rsidRPr="000912A1" w:rsidRDefault="003B054C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000000"/>
        </w:rPr>
      </w:pPr>
    </w:p>
    <w:p w14:paraId="0C049B74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7. Nuo mokesčio už ugdymą Įstaigoje atleidžiami:</w:t>
      </w:r>
    </w:p>
    <w:p w14:paraId="27CC7088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7.1.</w:t>
      </w:r>
      <w:r w:rsidRPr="000912A1">
        <w:rPr>
          <w:color w:val="000000"/>
          <w:szCs w:val="24"/>
        </w:rPr>
        <w:t xml:space="preserve"> socialinės pašalpos ir socialinės paramos gavėjai;</w:t>
      </w:r>
    </w:p>
    <w:p w14:paraId="6905DE81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7.2. be tėvų globos likę ugdytiniai (išskyrus atvejus, kai laikinoji globa (rūpyba) n</w:t>
      </w:r>
      <w:r w:rsidRPr="000912A1">
        <w:rPr>
          <w:color w:val="000000"/>
          <w:szCs w:val="24"/>
        </w:rPr>
        <w:t xml:space="preserve">ustatyta tėvų prašymu), neįgalūs ugdytiniai, </w:t>
      </w:r>
      <w:r w:rsidRPr="000912A1">
        <w:rPr>
          <w:color w:val="000000"/>
          <w:szCs w:val="24"/>
        </w:rPr>
        <w:t>pateikus tai patvirtinančius dokumentus</w:t>
      </w:r>
      <w:r w:rsidRPr="000912A1">
        <w:rPr>
          <w:color w:val="000000"/>
          <w:szCs w:val="24"/>
        </w:rPr>
        <w:t>;</w:t>
      </w:r>
    </w:p>
    <w:p w14:paraId="2135F78C" w14:textId="77777777" w:rsidR="003B054C" w:rsidRPr="000912A1" w:rsidRDefault="005458D6">
      <w:pPr>
        <w:spacing w:line="360" w:lineRule="auto"/>
        <w:ind w:firstLine="720"/>
        <w:jc w:val="both"/>
      </w:pPr>
      <w:r w:rsidRPr="000912A1">
        <w:rPr>
          <w:color w:val="000000"/>
        </w:rPr>
        <w:t>7.3. 2022 m. vasario 24 d. ir vėliau iš Ukrainos į Lietuvos Respubliką dėl Rusijos Federacijos karinių veiksmų Ukrainoje pasitraukę užsieniečiai, Ukrainos piliečiai, jų š</w:t>
      </w:r>
      <w:r w:rsidRPr="000912A1">
        <w:rPr>
          <w:color w:val="000000"/>
        </w:rPr>
        <w:t>eimos nariai ir asmenys be pilietybės, kurių nuolatinė gyvenamoji vieta iki 2022 m. vasario 24 d. buvo Ukrainoje (karo pabėgėliai).</w:t>
      </w:r>
    </w:p>
    <w:p w14:paraId="2E6672ED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8. Jei trys ir daugiau ugdytinių iš vienos šeimos lanko tą pačią arba skirtingas Vilniaus miesto savivaldybei pavaldžias nef</w:t>
      </w:r>
      <w:r w:rsidRPr="000912A1">
        <w:rPr>
          <w:color w:val="000000"/>
          <w:szCs w:val="24"/>
        </w:rPr>
        <w:t>ormaliojo švietimo įstaigas (išskyrus ikimokyklinio ugdymo įstaigas), pateikus tai patvirtinančius dokumentus, kiekvienam ugdytiniui taikomas 50 proc. dydžio mokestis už ugdymą.</w:t>
      </w:r>
    </w:p>
    <w:p w14:paraId="2B53C95D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9. Kolegialus Įstaigos valdymo organas (jam nesant Įstaigos vadovas, susiderin</w:t>
      </w:r>
      <w:r w:rsidRPr="000912A1">
        <w:rPr>
          <w:color w:val="000000"/>
          <w:szCs w:val="24"/>
        </w:rPr>
        <w:t xml:space="preserve">ęs su skyriaus vedėju) turi teisę ne daugiau kaip 5 proc. Įstaigą lankančių ugdytinių (išskyrus Aprašo 7 ir </w:t>
      </w:r>
      <w:r w:rsidRPr="000912A1">
        <w:rPr>
          <w:color w:val="000000"/>
          <w:szCs w:val="24"/>
        </w:rPr>
        <w:t xml:space="preserve">8 </w:t>
      </w:r>
      <w:r w:rsidRPr="000912A1">
        <w:rPr>
          <w:color w:val="000000"/>
          <w:szCs w:val="24"/>
        </w:rPr>
        <w:t>punktuose išvardintus atvejus) atleisti nuo mokesčio ar mokestį sumažinti 50 proc. Mokestis nemokamas, jeigu Įstaigos veikla stabdoma dėl karantin</w:t>
      </w:r>
      <w:r w:rsidRPr="000912A1">
        <w:rPr>
          <w:color w:val="000000"/>
          <w:szCs w:val="24"/>
        </w:rPr>
        <w:t>o, ekstremaliosios situacijos, ekstremaliojo įvykio ar įvykio, keliančio pavojų ugdytinių sveikatai ir gyvybei.</w:t>
      </w:r>
    </w:p>
    <w:p w14:paraId="4860B167" w14:textId="77777777" w:rsidR="003B054C" w:rsidRPr="000912A1" w:rsidRDefault="005458D6">
      <w:pPr>
        <w:tabs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10. Norint pasinaudoti šio Aprašo 7 ir 8 punktuose nustatytomis lengvatomis, Įstaigos vadovui turi būti pateikti:</w:t>
      </w:r>
    </w:p>
    <w:p w14:paraId="4082943C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10.1. prašymas;</w:t>
      </w:r>
    </w:p>
    <w:p w14:paraId="6C7D9723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 xml:space="preserve">10.2. pažyma </w:t>
      </w:r>
      <w:r w:rsidRPr="000912A1">
        <w:rPr>
          <w:color w:val="000000"/>
          <w:szCs w:val="24"/>
        </w:rPr>
        <w:t>(pažymos kopija) iš Vilniaus miesto savivaldybės administracijos Socialinių išmokų skyriaus, kad asmuo turi teisę gauti arba gauna socialinę paramą ir (arba) pašalpą (Aprašo 7.1 papunktyje numatytu atveju).</w:t>
      </w:r>
    </w:p>
    <w:p w14:paraId="291C15A6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left="720"/>
        <w:jc w:val="both"/>
      </w:pPr>
      <w:r w:rsidRPr="000912A1">
        <w:rPr>
          <w:color w:val="000000"/>
          <w:szCs w:val="24"/>
        </w:rPr>
        <w:t>10.3. iš Ukrainos pasitraukusių asmenų registraci</w:t>
      </w:r>
      <w:r w:rsidRPr="000912A1">
        <w:rPr>
          <w:color w:val="000000"/>
          <w:szCs w:val="24"/>
        </w:rPr>
        <w:t>ją Migracijos departamente prie Lietuvos</w:t>
      </w:r>
    </w:p>
    <w:p w14:paraId="35774591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jc w:val="both"/>
      </w:pPr>
      <w:r w:rsidRPr="000912A1">
        <w:rPr>
          <w:color w:val="000000"/>
          <w:szCs w:val="24"/>
        </w:rPr>
        <w:t>Respublikos vidaus reikalų ministerijos patvirtinantis dokumentas ir / ar jo kopija (Aprašo 7.3 papunktyje numatytu atveju).</w:t>
      </w:r>
    </w:p>
    <w:p w14:paraId="3BB4915C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674"/>
        <w:jc w:val="both"/>
      </w:pPr>
      <w:r w:rsidRPr="000912A1">
        <w:rPr>
          <w:color w:val="000000"/>
          <w:szCs w:val="24"/>
        </w:rPr>
        <w:t>10.4. kiti dokumentai, patvirtinantys Aprašo 7.2 papunktyje ar 8 punkte nurodytas aplinkyb</w:t>
      </w:r>
      <w:r w:rsidRPr="000912A1">
        <w:rPr>
          <w:color w:val="000000"/>
          <w:szCs w:val="24"/>
        </w:rPr>
        <w:t>es (Aprašo 7.2 papunktyje ar 8 punkte numatyta</w:t>
      </w:r>
      <w:bookmarkStart w:id="0" w:name="_GoBack"/>
      <w:bookmarkEnd w:id="0"/>
      <w:r w:rsidRPr="000912A1">
        <w:rPr>
          <w:color w:val="000000"/>
          <w:szCs w:val="24"/>
        </w:rPr>
        <w:t>is atvejais).</w:t>
      </w:r>
    </w:p>
    <w:p w14:paraId="19394D6B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11. Sprendimas atleisti nuo mokesčio ar jį sumažinti priimamas per 10 kalendorinių dienų nuo prašymo suteikti mokesčio už ugdymą lengvatą Įstaigos vadovui pateikimo dienos.</w:t>
      </w:r>
    </w:p>
    <w:p w14:paraId="465BB0ED" w14:textId="77777777" w:rsidR="003B054C" w:rsidRPr="000912A1" w:rsidRDefault="005458D6">
      <w:pPr>
        <w:tabs>
          <w:tab w:val="left" w:pos="0"/>
          <w:tab w:val="left" w:pos="426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 xml:space="preserve">12. Mokesčio už ugdymą </w:t>
      </w:r>
      <w:r w:rsidRPr="000912A1">
        <w:rPr>
          <w:color w:val="000000"/>
          <w:szCs w:val="24"/>
        </w:rPr>
        <w:t>lengvatos, nurodytos Aprašo 7, 8 ir 9 punktuose, taikomos nuo sprendimo atleisti nuo mokesčio ar jį sumažinti priėmimo dienos.</w:t>
      </w:r>
    </w:p>
    <w:p w14:paraId="469F50A2" w14:textId="77777777" w:rsidR="003B054C" w:rsidRPr="000912A1" w:rsidRDefault="005458D6">
      <w:pPr>
        <w:tabs>
          <w:tab w:val="left" w:pos="0"/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13. Apraše numatytoms lengvatoms gauti prašymus ir (jei reikia) kitus dokumentus teikia ugdytinio tėvai (globėjai, rūpintojai), s</w:t>
      </w:r>
      <w:r w:rsidRPr="000912A1">
        <w:rPr>
          <w:color w:val="000000"/>
          <w:szCs w:val="24"/>
        </w:rPr>
        <w:t>tudijų (būrelių) vadovai, patys pilnamečiai ugdytiniai, kiti suinteresuoti asmenys ar institucijos.</w:t>
      </w:r>
    </w:p>
    <w:p w14:paraId="68E53D34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14. Atleidimas nuo mokesčio ar mokesčio mažinimas įforminamas Įstaigos vadovo įsakymu.</w:t>
      </w:r>
    </w:p>
    <w:p w14:paraId="3D69D260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15. Nepateikus reikiamų dokumentų mokestis skaičiuojamas bendra tvark</w:t>
      </w:r>
      <w:r w:rsidRPr="000912A1">
        <w:rPr>
          <w:color w:val="000000"/>
          <w:szCs w:val="24"/>
        </w:rPr>
        <w:t>a.</w:t>
      </w:r>
    </w:p>
    <w:p w14:paraId="1FB88897" w14:textId="77777777" w:rsidR="003B054C" w:rsidRPr="000912A1" w:rsidRDefault="003B054C">
      <w:pPr>
        <w:tabs>
          <w:tab w:val="left" w:pos="0"/>
          <w:tab w:val="left" w:pos="426"/>
        </w:tabs>
        <w:spacing w:line="276" w:lineRule="auto"/>
        <w:ind w:firstLine="709"/>
        <w:jc w:val="both"/>
      </w:pPr>
    </w:p>
    <w:p w14:paraId="055CC8EC" w14:textId="77777777" w:rsidR="003B054C" w:rsidRPr="000912A1" w:rsidRDefault="005458D6">
      <w:pPr>
        <w:tabs>
          <w:tab w:val="left" w:pos="426"/>
        </w:tabs>
        <w:spacing w:line="276" w:lineRule="auto"/>
        <w:ind w:firstLine="709"/>
        <w:jc w:val="center"/>
      </w:pPr>
      <w:r w:rsidRPr="000912A1">
        <w:rPr>
          <w:b/>
          <w:color w:val="000000"/>
        </w:rPr>
        <w:t>IV. BAIGIAMOSIOS NUOSTATOS</w:t>
      </w:r>
    </w:p>
    <w:p w14:paraId="5394C4D3" w14:textId="77777777" w:rsidR="003B054C" w:rsidRPr="000912A1" w:rsidRDefault="003B054C">
      <w:pPr>
        <w:tabs>
          <w:tab w:val="left" w:pos="426"/>
        </w:tabs>
        <w:spacing w:line="276" w:lineRule="auto"/>
        <w:ind w:firstLine="709"/>
        <w:jc w:val="both"/>
        <w:rPr>
          <w:b/>
          <w:color w:val="000000"/>
        </w:rPr>
      </w:pPr>
    </w:p>
    <w:p w14:paraId="0D4FAA3F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</w:t>
      </w:r>
      <w:r w:rsidRPr="000912A1">
        <w:rPr>
          <w:color w:val="000000"/>
          <w:szCs w:val="24"/>
        </w:rPr>
        <w:t>6</w:t>
      </w:r>
      <w:r w:rsidRPr="000912A1">
        <w:rPr>
          <w:color w:val="000000"/>
          <w:szCs w:val="24"/>
        </w:rPr>
        <w:t>. Įmokos ir skolos už neformaliojo švietimo paslaugas apskaitomos ir išieškomos Lietuvos Respublikos teisės aktų nustatyta tvarka.</w:t>
      </w:r>
    </w:p>
    <w:p w14:paraId="4442F353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17. Už Apraše nustatytos mokesčio tvarkos laikymąsi tiesiogiai atsako Įstaigos vadovas.</w:t>
      </w:r>
    </w:p>
    <w:p w14:paraId="577D9915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18.</w:t>
      </w:r>
      <w:r w:rsidRPr="000912A1">
        <w:rPr>
          <w:color w:val="000000"/>
          <w:szCs w:val="24"/>
        </w:rPr>
        <w:t xml:space="preserve"> Sprendimas dėl mokesčio už ugdymą lengvatos suteikimo ar nesuteikimo gali būti skundžiamas Lietuvos Respublikos teisės aktų nustatyta tvarka.</w:t>
      </w:r>
    </w:p>
    <w:p w14:paraId="0866A3FB" w14:textId="77777777" w:rsidR="003B054C" w:rsidRPr="000912A1" w:rsidRDefault="005458D6">
      <w:pPr>
        <w:tabs>
          <w:tab w:val="left" w:pos="426"/>
          <w:tab w:val="left" w:pos="1134"/>
        </w:tabs>
        <w:spacing w:line="360" w:lineRule="auto"/>
        <w:ind w:firstLine="709"/>
        <w:jc w:val="both"/>
      </w:pPr>
      <w:r w:rsidRPr="000912A1">
        <w:rPr>
          <w:color w:val="000000"/>
          <w:szCs w:val="24"/>
        </w:rPr>
        <w:t>19. Aprašas skelbiamas Vilniaus miesto savivaldybės ir Įstaigų interneto svetainėse, taip pat interneto svetainėj</w:t>
      </w:r>
      <w:r w:rsidRPr="000912A1">
        <w:rPr>
          <w:color w:val="000000"/>
          <w:szCs w:val="24"/>
        </w:rPr>
        <w:t>e www.neformalusugdymas.lt.</w:t>
      </w:r>
    </w:p>
    <w:p w14:paraId="75C3452D" w14:textId="77777777" w:rsidR="008753A5" w:rsidRPr="000912A1" w:rsidRDefault="008753A5">
      <w:pPr>
        <w:spacing w:line="360" w:lineRule="auto"/>
        <w:jc w:val="center"/>
        <w:rPr>
          <w:color w:val="000000"/>
        </w:rPr>
      </w:pPr>
    </w:p>
    <w:p w14:paraId="76B394C8" w14:textId="77777777" w:rsidR="008753A5" w:rsidRPr="000912A1" w:rsidRDefault="008753A5">
      <w:pPr>
        <w:spacing w:line="360" w:lineRule="auto"/>
        <w:jc w:val="center"/>
        <w:rPr>
          <w:color w:val="000000"/>
        </w:rPr>
      </w:pPr>
    </w:p>
    <w:p w14:paraId="0E3071D9" w14:textId="77777777" w:rsidR="008753A5" w:rsidRPr="000912A1" w:rsidRDefault="008753A5">
      <w:pPr>
        <w:spacing w:line="360" w:lineRule="auto"/>
        <w:jc w:val="center"/>
        <w:rPr>
          <w:color w:val="000000"/>
        </w:rPr>
      </w:pPr>
    </w:p>
    <w:sectPr w:rsidR="008753A5" w:rsidRPr="000912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2913" w14:textId="77777777" w:rsidR="005458D6" w:rsidRDefault="005458D6">
      <w:r>
        <w:separator/>
      </w:r>
    </w:p>
  </w:endnote>
  <w:endnote w:type="continuationSeparator" w:id="0">
    <w:p w14:paraId="3A023A55" w14:textId="77777777" w:rsidR="005458D6" w:rsidRDefault="0054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C581" w14:textId="77777777" w:rsidR="00951496" w:rsidRDefault="005458D6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8906" w14:textId="77777777" w:rsidR="00951496" w:rsidRDefault="005458D6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BD00" w14:textId="77777777" w:rsidR="00951496" w:rsidRDefault="005458D6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67AC" w14:textId="77777777" w:rsidR="00951496" w:rsidRDefault="005458D6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0DD3" w14:textId="77777777" w:rsidR="005458D6" w:rsidRDefault="005458D6">
      <w:r>
        <w:rPr>
          <w:color w:val="000000"/>
        </w:rPr>
        <w:separator/>
      </w:r>
    </w:p>
  </w:footnote>
  <w:footnote w:type="continuationSeparator" w:id="0">
    <w:p w14:paraId="75A6A6C8" w14:textId="77777777" w:rsidR="005458D6" w:rsidRDefault="0054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B465" w14:textId="65ED5E63" w:rsidR="00951496" w:rsidRDefault="005458D6">
    <w:pPr>
      <w:tabs>
        <w:tab w:val="center" w:pos="4680"/>
        <w:tab w:val="right" w:pos="9360"/>
      </w:tabs>
      <w:jc w:val="center"/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 PAGE </w:instrText>
    </w:r>
    <w:r>
      <w:rPr>
        <w:sz w:val="22"/>
        <w:szCs w:val="22"/>
        <w:lang w:eastAsia="lt-LT"/>
      </w:rPr>
      <w:fldChar w:fldCharType="separate"/>
    </w:r>
    <w:r w:rsidR="000912A1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4E0C55AA" w14:textId="77777777" w:rsidR="00951496" w:rsidRDefault="005458D6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D94D" w14:textId="77777777" w:rsidR="00951496" w:rsidRDefault="005458D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E8A4" w14:textId="6F005F2F" w:rsidR="00951496" w:rsidRDefault="005458D6">
    <w:pPr>
      <w:tabs>
        <w:tab w:val="center" w:pos="4680"/>
        <w:tab w:val="right" w:pos="9360"/>
      </w:tabs>
      <w:jc w:val="center"/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 xml:space="preserve"> PAGE </w:instrText>
    </w:r>
    <w:r>
      <w:rPr>
        <w:sz w:val="22"/>
        <w:szCs w:val="22"/>
        <w:lang w:eastAsia="lt-LT"/>
      </w:rPr>
      <w:fldChar w:fldCharType="separate"/>
    </w:r>
    <w:r w:rsidR="000912A1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7039A90D" w14:textId="77777777" w:rsidR="00951496" w:rsidRDefault="005458D6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F202" w14:textId="77777777" w:rsidR="00951496" w:rsidRDefault="005458D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C"/>
    <w:rsid w:val="00010BDC"/>
    <w:rsid w:val="000912A1"/>
    <w:rsid w:val="003B054C"/>
    <w:rsid w:val="005458D6"/>
    <w:rsid w:val="007E49D8"/>
    <w:rsid w:val="008753A5"/>
    <w:rsid w:val="00B44D65"/>
    <w:rsid w:val="00C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3995"/>
  <w15:docId w15:val="{C9355B9D-B214-48D6-8BBD-4E1F892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5</cp:revision>
  <dcterms:created xsi:type="dcterms:W3CDTF">2022-10-24T07:09:00Z</dcterms:created>
  <dcterms:modified xsi:type="dcterms:W3CDTF">2023-04-28T08:56:00Z</dcterms:modified>
</cp:coreProperties>
</file>